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AE20" w14:textId="35CC6E58" w:rsidR="00620E0D" w:rsidRDefault="008F5AAD" w:rsidP="008F5AAD">
      <w:pPr>
        <w:rPr>
          <w:b/>
          <w:bCs/>
        </w:rPr>
      </w:pPr>
      <w:r w:rsidRPr="008F5AAD">
        <w:rPr>
          <w:b/>
          <w:bCs/>
        </w:rPr>
        <w:t>RÈGLEMENT D’EXÉCUTION N° 129/25/CEMAC/C/P/REX-AIR/I Etablissant des règles pour la certification de navigabilité et environnementale des aéronefs et produits, pièces et équipements associés</w:t>
      </w:r>
    </w:p>
    <w:p w14:paraId="5109EB9C" w14:textId="77777777" w:rsidR="00A855B3" w:rsidRDefault="00A855B3" w:rsidP="008F5AAD">
      <w:pPr>
        <w:rPr>
          <w:b/>
          <w:bCs/>
        </w:rPr>
      </w:pPr>
    </w:p>
    <w:p w14:paraId="04A09ADD" w14:textId="5C1B8302" w:rsidR="00A855B3" w:rsidRPr="008F5AAD" w:rsidRDefault="001E09B5" w:rsidP="001E09B5">
      <w:hyperlink r:id="rId4" w:history="1">
        <w:r w:rsidRPr="001E09B5">
          <w:rPr>
            <w:rStyle w:val="Lienhypertexte"/>
          </w:rPr>
          <w:t>Règlement d'Exécution (AIR) - Site officiel de l'ASSA-AC</w:t>
        </w:r>
      </w:hyperlink>
    </w:p>
    <w:sectPr w:rsidR="00A855B3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1912"/>
    <w:rsid w:val="001E09B5"/>
    <w:rsid w:val="00620E0D"/>
    <w:rsid w:val="008F5AAD"/>
    <w:rsid w:val="009E0494"/>
    <w:rsid w:val="00A855B3"/>
    <w:rsid w:val="00B62DCE"/>
    <w:rsid w:val="00CB2A45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2026-09-02T09:22:00Z</dcterms:created>
  <dcterms:modified xsi:type="dcterms:W3CDTF">2026-10-13T11:40:00Z</dcterms:modified>
</cp:coreProperties>
</file>